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DC9871" w14:textId="77777777" w:rsidR="005D585A" w:rsidRDefault="003D0352" w:rsidP="00947B0D">
      <w:pPr>
        <w:pStyle w:val="Titolo2"/>
        <w:jc w:val="both"/>
      </w:pPr>
      <w:r>
        <w:t>Chi siamo e perché questa informativa</w:t>
      </w:r>
    </w:p>
    <w:p w14:paraId="18DC9872" w14:textId="77777777" w:rsidR="005D585A" w:rsidRDefault="003D0352" w:rsidP="00947B0D">
      <w:pPr>
        <w:pStyle w:val="MessageContent"/>
        <w:jc w:val="both"/>
      </w:pPr>
      <w:r>
        <w:t>Lexant Società Benefit tra Avvocati a responsabilità limitata (“Lexant” o “Studio”) utilizza sistemi di intelligenza artificiale esclusivamente come strumenti di supporto all’attività professionale e organizzativa. Tali strumenti non sostituiscono il giudizio, la competenza, l’indipendenza e la responsabilità dell’avvocato incaricato.</w:t>
      </w:r>
    </w:p>
    <w:p w14:paraId="18DC9873" w14:textId="77777777" w:rsidR="005D585A" w:rsidRDefault="003D0352" w:rsidP="00947B0D">
      <w:pPr>
        <w:pStyle w:val="MessageContent"/>
        <w:jc w:val="both"/>
      </w:pPr>
      <w:r>
        <w:t>Questa informativa è pubblicata per offrire a clienti, utenti del sito e terzi una comunicazione chiara e trasparente sulle modalità con cui lo Studio può avvalersi dell’intelligenza artificiale, nel rispetto della normativa applicabile, dei principi di protezione dei dati personali, del segreto professionale e degli obblighi deontologici.</w:t>
      </w:r>
    </w:p>
    <w:p w14:paraId="18DC9874" w14:textId="77777777" w:rsidR="005D585A" w:rsidRDefault="003D0352" w:rsidP="00947B0D">
      <w:pPr>
        <w:pStyle w:val="Titolo2"/>
        <w:jc w:val="both"/>
      </w:pPr>
      <w:r>
        <w:t>Come utilizziamo l’IA</w:t>
      </w:r>
    </w:p>
    <w:p w14:paraId="18DC9875" w14:textId="77777777" w:rsidR="005D585A" w:rsidRDefault="003D0352" w:rsidP="00947B0D">
      <w:pPr>
        <w:pStyle w:val="MessageContent"/>
        <w:jc w:val="both"/>
      </w:pPr>
      <w:r>
        <w:t>Lexant può impiegare strumenti di intelligenza artificiale per attività strumentali e di supporto, quali la ricerca normativa, giurisprudenziale e dottrinale, l’analisi, la classificazione, il confronto, la sintesi e la revisione di documenti, la predisposizione e revisione di bozze contrattuali, atti, pareri, comunicazioni e corrispondenza, la traduzione e revisione linguistica, la registrazione, trascrizione e sintesi di riunioni e videochiamate previamente autorizzate, la predisposizione di presentazioni</w:t>
      </w:r>
      <w:r>
        <w:t xml:space="preserve"> e materiali informativi, nonché alcune attività organizzative, formative e amministrative interne.</w:t>
      </w:r>
    </w:p>
    <w:p w14:paraId="18DC9876" w14:textId="77777777" w:rsidR="005D585A" w:rsidRDefault="003D0352" w:rsidP="00947B0D">
      <w:pPr>
        <w:pStyle w:val="MessageContent"/>
        <w:jc w:val="both"/>
      </w:pPr>
      <w:r>
        <w:t>In ogni caso, l’utilizzo dell’IA resta limitato ad attività ancillari. Nessuna ricerca, bozza, traduzione, sintesi, presentazione o altro contenuto generato mediante IA è considerato definitivo senza verifica umana. Ogni risultato destinato a clienti, controparti, autorità o terzi è sottoposto al controllo del professionista incaricato, che ne verifica l’esattezza fattuale e giuridica, la pertinenza, l’attualità delle fonti, la coerenza con l’incarico e la conformità agli standard professionali dello Studio</w:t>
      </w:r>
      <w:r>
        <w:t>.</w:t>
      </w:r>
    </w:p>
    <w:p w14:paraId="18DC9877" w14:textId="77777777" w:rsidR="005D585A" w:rsidRDefault="003D0352" w:rsidP="00947B0D">
      <w:pPr>
        <w:pStyle w:val="Titolo2"/>
        <w:jc w:val="both"/>
      </w:pPr>
      <w:r>
        <w:t>Strumenti autorizzati</w:t>
      </w:r>
    </w:p>
    <w:p w14:paraId="18DC9878" w14:textId="77777777" w:rsidR="005D585A" w:rsidRDefault="003D0352" w:rsidP="00947B0D">
      <w:pPr>
        <w:pStyle w:val="MessageContent"/>
        <w:jc w:val="both"/>
      </w:pPr>
      <w:r>
        <w:t>Lo Studio utilizza esclusivamente strumenti previamente autorizzati all’esito di una valutazione tecnica, contrattuale, privacy, di sicurezza e di compatibilità con il segreto professionale. L’autorizzazione tiene conto, tra l’altro, delle finalità d’uso, delle categorie di informazioni trattabili, delle misure di sicurezza, dell’ubicazione dei dati, dell’eventuale ricorso a sub-responsabili, delle condizioni di conservazione e cancellazione dei contenuti, nonché dell’esclusione dell’uso dei contenuti dello</w:t>
      </w:r>
      <w:r>
        <w:t xml:space="preserve"> Studio per l’addestramento o il miglioramento dei modelli.</w:t>
      </w:r>
    </w:p>
    <w:p w14:paraId="18DC9879" w14:textId="77777777" w:rsidR="005D585A" w:rsidRDefault="003D0352" w:rsidP="00947B0D">
      <w:pPr>
        <w:pStyle w:val="MessageContent"/>
        <w:jc w:val="both"/>
      </w:pPr>
      <w:r>
        <w:t>Gli strumenti attualmente autorizzati per le rispettive finalità comprendono, in particolare, soluzioni per la ricerca legale e l’analisi delle fonti, la contrattualistica e la revisione documentale, la traduzione e revisione linguistica, la registrazione e sintesi di riunioni autorizzate, la creazione di presentazioni e il supporto alle attività nell’ambiente Microsoft 365.</w:t>
      </w:r>
    </w:p>
    <w:p w14:paraId="18DC987A" w14:textId="77777777" w:rsidR="005D585A" w:rsidRDefault="003D0352" w:rsidP="00947B0D">
      <w:pPr>
        <w:pStyle w:val="MessageContent"/>
        <w:jc w:val="both"/>
      </w:pPr>
      <w:r>
        <w:t>Non sono utilizzati, per informazioni professionali, account personali, gratuiti o destinati a consumatori, né strumenti, plug-in, agenti, connettori o funzionalità di IA non previamente autorizzati dallo Studio.</w:t>
      </w:r>
    </w:p>
    <w:p w14:paraId="18DC987B" w14:textId="77777777" w:rsidR="005D585A" w:rsidRDefault="003D0352" w:rsidP="00947B0D">
      <w:pPr>
        <w:pStyle w:val="Titolo2"/>
        <w:jc w:val="both"/>
      </w:pPr>
      <w:r>
        <w:t>Dati, riservatezza e misure di protezione</w:t>
      </w:r>
    </w:p>
    <w:p w14:paraId="18DC987C" w14:textId="77777777" w:rsidR="005D585A" w:rsidRDefault="003D0352" w:rsidP="00947B0D">
      <w:pPr>
        <w:pStyle w:val="MessageContent"/>
        <w:jc w:val="both"/>
      </w:pPr>
      <w:r>
        <w:t>Lexant applica i principi di liceità, correttezza, trasparenza, limitazione delle finalità, minimizzazione, esattezza, limitazione della conservazione, integrità e riservatezza. L’impiego di un sistema di IA non introduce una finalità autonoma di trattamento dei dati personali e non può eccedere il perimetro dell’incarico professionale.</w:t>
      </w:r>
    </w:p>
    <w:p w14:paraId="18DC987D" w14:textId="77777777" w:rsidR="005D585A" w:rsidRDefault="003D0352" w:rsidP="00947B0D">
      <w:pPr>
        <w:pStyle w:val="MessageContent"/>
        <w:jc w:val="both"/>
      </w:pPr>
      <w:r>
        <w:t>Prima di utilizzare strumenti di IA, lo Studio valuta la natura delle informazioni coinvolte, l’eventuale presenza di dati personali, dati particolari o giudiziari, obblighi di riservatezza, istruzioni del cliente, vincoli contrattuali e profili di segreto professionale. Nei prompt e nei documenti immessi nei sistemi sono utilizzate solo le informazioni necessarie, nella forma meno identificante possibile, anche mediante pseudonimizzazione, oscuramento o rimozione dei dati non pertinenti.</w:t>
      </w:r>
    </w:p>
    <w:p w14:paraId="18DC987E" w14:textId="77777777" w:rsidR="005D585A" w:rsidRDefault="003D0352" w:rsidP="00947B0D">
      <w:pPr>
        <w:pStyle w:val="MessageContent"/>
        <w:jc w:val="both"/>
      </w:pPr>
      <w:r>
        <w:lastRenderedPageBreak/>
        <w:t>Gli strumenti sono configurati, ove disponibile, secondo impostazioni protettive, quali la disattivazione dell’addestramento sui contenuti dello Studio, la conservazione minima, la limitazione delle funzionalità non necessarie, la gestione centralizzata degli accessi e l’adozione di misure di sicurezza adeguate. Il segreto professionale costituisce un limite invalicabile all’impiego dell’IA: in caso di dubbio sulla compatibilità dell’utilizzo con tale obbligo, lo strumento non viene utilizzato.</w:t>
      </w:r>
    </w:p>
    <w:p w14:paraId="18DC987F" w14:textId="77777777" w:rsidR="005D585A" w:rsidRDefault="003D0352" w:rsidP="00947B0D">
      <w:pPr>
        <w:pStyle w:val="Titolo2"/>
        <w:jc w:val="both"/>
      </w:pPr>
      <w:r>
        <w:t>Registrazioni, trascrizioni e sintesi di riunioni</w:t>
      </w:r>
    </w:p>
    <w:p w14:paraId="18DC9880" w14:textId="77777777" w:rsidR="005D585A" w:rsidRDefault="003D0352" w:rsidP="00947B0D">
      <w:pPr>
        <w:pStyle w:val="MessageContent"/>
        <w:jc w:val="both"/>
      </w:pPr>
      <w:r>
        <w:t>La registrazione, trascrizione o sintesi automatica di riunioni e videochiamate è effettuata solo quando necessaria, proporzionata e previamente autorizzata dal professionista responsabile della riunione. I partecipanti sono informati prima dell’avvio della registrazione o della trascrizione e possono opporsi, nel qual caso la registrazione non viene avviata o viene interrotta, salvo diverso presupposto giuridico previamente valutato.</w:t>
      </w:r>
    </w:p>
    <w:p w14:paraId="18DC9881" w14:textId="77777777" w:rsidR="005D585A" w:rsidRDefault="003D0352" w:rsidP="00947B0D">
      <w:pPr>
        <w:pStyle w:val="MessageContent"/>
        <w:jc w:val="both"/>
      </w:pPr>
      <w:r>
        <w:t>Lexant non effettua registrazioni occulte. L’accesso a registrazioni, trascrizioni e sintesi è riservato ai soli soggetti autorizzati e la conservazione è limitata al tempo strettamente necessario.</w:t>
      </w:r>
    </w:p>
    <w:p w14:paraId="18DC9882" w14:textId="77777777" w:rsidR="005D585A" w:rsidRDefault="003D0352" w:rsidP="00947B0D">
      <w:pPr>
        <w:pStyle w:val="Titolo2"/>
        <w:jc w:val="both"/>
      </w:pPr>
      <w:r>
        <w:t>Trasparenza verso clienti e terzi</w:t>
      </w:r>
    </w:p>
    <w:p w14:paraId="18DC9883" w14:textId="77777777" w:rsidR="005D585A" w:rsidRDefault="003D0352" w:rsidP="00947B0D">
      <w:pPr>
        <w:pStyle w:val="MessageContent"/>
        <w:jc w:val="both"/>
      </w:pPr>
      <w:r>
        <w:t>Lexant informa i clienti dell’eventuale impiego di sistemi di IA nell’esecuzione dell’incarico con linguaggio chiaro e comprensibile. L’informazione riguarda, in particolare, le categorie di strumenti impiegati, le finalità di supporto, le attività interessate, la permanenza del controllo e della responsabilità in capo al professionista, nonché le misure adottate a tutela dei dati personali, della riservatezza e del segreto professionale.</w:t>
      </w:r>
    </w:p>
    <w:p w14:paraId="18DC9884" w14:textId="77777777" w:rsidR="005D585A" w:rsidRDefault="003D0352" w:rsidP="00947B0D">
      <w:pPr>
        <w:pStyle w:val="MessageContent"/>
        <w:jc w:val="both"/>
      </w:pPr>
      <w:r>
        <w:t>Quando persone fisiche interagiscono direttamente con un sistema di IA messo a disposizione dallo Studio, esse ne sono informate in modo chiaro e facilmente percepibile.</w:t>
      </w:r>
    </w:p>
    <w:p w14:paraId="18DC9885" w14:textId="77777777" w:rsidR="005D585A" w:rsidRDefault="003D0352" w:rsidP="00947B0D">
      <w:pPr>
        <w:pStyle w:val="Titolo2"/>
        <w:jc w:val="both"/>
      </w:pPr>
      <w:r>
        <w:t>Contenuti sintetici e materiali pubblicati</w:t>
      </w:r>
    </w:p>
    <w:p w14:paraId="18DC9886" w14:textId="77777777" w:rsidR="005D585A" w:rsidRDefault="003D0352" w:rsidP="00947B0D">
      <w:pPr>
        <w:pStyle w:val="MessageContent"/>
        <w:jc w:val="both"/>
      </w:pPr>
      <w:r>
        <w:t>Qualora Lexant pubblichi o condivida contenuti generati o manipolati mediante IA che raffigurino persone, luoghi o eventi in modo tale da apparire autentici, la natura artificiale del contenuto è dichiarata in modo chiaro.</w:t>
      </w:r>
    </w:p>
    <w:p w14:paraId="18DC9887" w14:textId="77777777" w:rsidR="005D585A" w:rsidRDefault="003D0352" w:rsidP="00947B0D">
      <w:pPr>
        <w:pStyle w:val="MessageContent"/>
        <w:jc w:val="both"/>
      </w:pPr>
      <w:r>
        <w:t>I testi generati o manipolati mediante IA e pubblicati per informare il pubblico su questioni di interesse pubblico sono dichiarati come tali, salvo che siano stati sottoposti a revisione umana e controllo editoriale. Prima della pubblicazione di materiali predisposti con l’ausilio dell’IA, lo Studio verifica l’accuratezza e l’aggiornamento dei contenuti, l’assenza di informazioni riservate o dati personali non necessari, l’origine e l’utilizzabilità di immagini, marchi, testi e altri contenuti protetti, no</w:t>
      </w:r>
      <w:r>
        <w:t>nché l’eliminazione di prompt, commenti, note interne e metadati non destinati alla pubblicazione.</w:t>
      </w:r>
    </w:p>
    <w:p w14:paraId="18DC9888" w14:textId="77777777" w:rsidR="005D585A" w:rsidRDefault="003D0352" w:rsidP="00947B0D">
      <w:pPr>
        <w:pStyle w:val="Titolo2"/>
        <w:jc w:val="both"/>
      </w:pPr>
      <w:r>
        <w:t>Proprietà intellettuale</w:t>
      </w:r>
    </w:p>
    <w:p w14:paraId="18DC9889" w14:textId="77777777" w:rsidR="005D585A" w:rsidRDefault="003D0352" w:rsidP="00947B0D">
      <w:pPr>
        <w:pStyle w:val="MessageContent"/>
        <w:jc w:val="both"/>
      </w:pPr>
      <w:r>
        <w:t>Lexant non presume che un contenuto generato mediante IA sia originale, libero da diritti di terzi o autonomamente tutelabile. Prima dell’utilizzo esterno, lo Studio ne verifica la provenienza, le licenze e l’eventuale presenza di elementi protetti, quali immagini, marchi, testi o altri materiali soggetti a diritti di proprietà intellettuale.</w:t>
      </w:r>
    </w:p>
    <w:p w14:paraId="18DC988A" w14:textId="77777777" w:rsidR="005D585A" w:rsidRDefault="003D0352" w:rsidP="00947B0D">
      <w:pPr>
        <w:pStyle w:val="Titolo2"/>
        <w:jc w:val="both"/>
      </w:pPr>
      <w:r>
        <w:t>Diritti e scelte dell’interessato</w:t>
      </w:r>
    </w:p>
    <w:p w14:paraId="18DC988B" w14:textId="77777777" w:rsidR="005D585A" w:rsidRDefault="003D0352" w:rsidP="00947B0D">
      <w:pPr>
        <w:pStyle w:val="MessageContent"/>
        <w:jc w:val="both"/>
      </w:pPr>
      <w:r>
        <w:t>Il cliente può chiedere in qualsiasi momento chiarimenti sull’eventuale impiego di sistemi di IA nell’ambito del proprio incarico e può richiedere che l’incarico sia eseguito senza l’ausilio di sistemi di intelligenza artificiale, scrivendo a ai@lexant.it. La richiesta è annotata nel fascicolo e vincola i professionisti che vi operano.</w:t>
      </w:r>
    </w:p>
    <w:p w14:paraId="18DC988C" w14:textId="77777777" w:rsidR="005D585A" w:rsidRDefault="003D0352" w:rsidP="00947B0D">
      <w:pPr>
        <w:pStyle w:val="MessageContent"/>
        <w:jc w:val="both"/>
      </w:pPr>
      <w:r>
        <w:t>Restano fermi i diritti riconosciuti dalla normativa in materia di protezione dei dati personali, inclusi, ove applicabili, i diritti di accesso, rettifica, cancellazione, limitazione e opposizione. Per le richieste relative al trattamento dei dati personali è possibile contattare il Responsabile della protezione dei dati all’indirizzo dpo@lexant.it.</w:t>
      </w:r>
    </w:p>
    <w:p w14:paraId="18DC988D" w14:textId="77777777" w:rsidR="005D585A" w:rsidRDefault="003D0352" w:rsidP="00947B0D">
      <w:pPr>
        <w:pStyle w:val="Titolo2"/>
        <w:jc w:val="both"/>
      </w:pPr>
      <w:r>
        <w:lastRenderedPageBreak/>
        <w:t>Aggiornamenti</w:t>
      </w:r>
    </w:p>
    <w:p w14:paraId="18DC988E" w14:textId="77777777" w:rsidR="005D585A" w:rsidRDefault="003D0352" w:rsidP="00947B0D">
      <w:pPr>
        <w:pStyle w:val="MessageContent"/>
        <w:jc w:val="both"/>
      </w:pPr>
      <w:r>
        <w:t>La presente informativa può essere aggiornata in conseguenza di modifiche normative, orientamenti delle autorità competenti, evoluzioni tecniche, introduzione o dismissione di strumenti, modifiche contrattuali dei fornitori o incidenti significativi. La versione corrente è pubblicata su questo sito.</w:t>
      </w:r>
    </w:p>
    <w:sectPr w:rsidR="005D585A">
      <w:footerReference w:type="default" r:id="rId7"/>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FF1D1D" w14:textId="77777777" w:rsidR="003D0352" w:rsidRDefault="003D0352">
      <w:r>
        <w:separator/>
      </w:r>
    </w:p>
  </w:endnote>
  <w:endnote w:type="continuationSeparator" w:id="0">
    <w:p w14:paraId="3A8B82E7" w14:textId="77777777" w:rsidR="003D0352" w:rsidRDefault="003D0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Raleway">
    <w:panose1 w:val="00000000000000000000"/>
    <w:charset w:val="4D"/>
    <w:family w:val="auto"/>
    <w:pitch w:val="variable"/>
    <w:sig w:usb0="A00002FF" w:usb1="5000205B" w:usb2="00000000" w:usb3="00000000" w:csb0="00000197" w:csb1="00000000"/>
  </w:font>
  <w:font w:name="Roboto Mono">
    <w:panose1 w:val="00000009000000000000"/>
    <w:charset w:val="00"/>
    <w:family w:val="modern"/>
    <w:pitch w:val="fixed"/>
    <w:sig w:usb0="E00002FF" w:usb1="1000205B" w:usb2="0000002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DC988F" w14:textId="4D0FFC4A" w:rsidR="005D585A" w:rsidRDefault="005D585A">
    <w:pPr>
      <w:spacing w:line="180" w:lineRule="atLea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6537F3" w14:textId="77777777" w:rsidR="003D0352" w:rsidRDefault="003D0352">
      <w:r>
        <w:separator/>
      </w:r>
    </w:p>
  </w:footnote>
  <w:footnote w:type="continuationSeparator" w:id="0">
    <w:p w14:paraId="7956E1CB" w14:textId="77777777" w:rsidR="003D0352" w:rsidRDefault="003D03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926C41"/>
    <w:multiLevelType w:val="hybridMultilevel"/>
    <w:tmpl w:val="8C9CD544"/>
    <w:lvl w:ilvl="0" w:tplc="53B6BD80">
      <w:start w:val="1"/>
      <w:numFmt w:val="bullet"/>
      <w:lvlText w:val="•"/>
      <w:lvlJc w:val="left"/>
      <w:pPr>
        <w:ind w:left="454" w:hanging="261"/>
      </w:pPr>
    </w:lvl>
    <w:lvl w:ilvl="1" w:tplc="5C0A62F2">
      <w:start w:val="1"/>
      <w:numFmt w:val="bullet"/>
      <w:lvlText w:val="•"/>
      <w:lvlJc w:val="left"/>
      <w:pPr>
        <w:ind w:left="907" w:hanging="261"/>
      </w:pPr>
    </w:lvl>
    <w:lvl w:ilvl="2" w:tplc="62DE5E18">
      <w:start w:val="1"/>
      <w:numFmt w:val="bullet"/>
      <w:lvlText w:val="•"/>
      <w:lvlJc w:val="left"/>
      <w:pPr>
        <w:ind w:left="1361" w:hanging="261"/>
      </w:pPr>
    </w:lvl>
    <w:lvl w:ilvl="3" w:tplc="4A866974">
      <w:start w:val="1"/>
      <w:numFmt w:val="bullet"/>
      <w:lvlText w:val="•"/>
      <w:lvlJc w:val="left"/>
      <w:pPr>
        <w:ind w:left="1814" w:hanging="261"/>
      </w:pPr>
    </w:lvl>
    <w:lvl w:ilvl="4" w:tplc="E0188EA6">
      <w:start w:val="1"/>
      <w:numFmt w:val="bullet"/>
      <w:lvlText w:val="•"/>
      <w:lvlJc w:val="left"/>
      <w:pPr>
        <w:ind w:left="2268" w:hanging="261"/>
      </w:pPr>
    </w:lvl>
    <w:lvl w:ilvl="5" w:tplc="F2C0439C">
      <w:start w:val="1"/>
      <w:numFmt w:val="bullet"/>
      <w:lvlText w:val="•"/>
      <w:lvlJc w:val="left"/>
      <w:pPr>
        <w:ind w:left="2721" w:hanging="261"/>
      </w:pPr>
    </w:lvl>
    <w:lvl w:ilvl="6" w:tplc="0BD67812">
      <w:start w:val="1"/>
      <w:numFmt w:val="bullet"/>
      <w:lvlText w:val="•"/>
      <w:lvlJc w:val="left"/>
      <w:pPr>
        <w:ind w:left="3175" w:hanging="261"/>
      </w:pPr>
    </w:lvl>
    <w:lvl w:ilvl="7" w:tplc="EA267932">
      <w:start w:val="1"/>
      <w:numFmt w:val="bullet"/>
      <w:lvlText w:val="•"/>
      <w:lvlJc w:val="left"/>
      <w:pPr>
        <w:ind w:left="3628" w:hanging="261"/>
      </w:pPr>
    </w:lvl>
    <w:lvl w:ilvl="8" w:tplc="FB8E056A">
      <w:start w:val="1"/>
      <w:numFmt w:val="bullet"/>
      <w:lvlText w:val="•"/>
      <w:lvlJc w:val="left"/>
      <w:pPr>
        <w:ind w:left="4082" w:hanging="261"/>
      </w:pPr>
    </w:lvl>
  </w:abstractNum>
  <w:abstractNum w:abstractNumId="1" w15:restartNumberingAfterBreak="0">
    <w:nsid w:val="225015F4"/>
    <w:multiLevelType w:val="multilevel"/>
    <w:tmpl w:val="95600000"/>
    <w:lvl w:ilvl="0">
      <w:start w:val="1"/>
      <w:numFmt w:val="decimal"/>
      <w:pStyle w:val="Titolo2"/>
      <w:suff w:val="space"/>
      <w:lvlText w:val="%1."/>
      <w:lvlJc w:val="left"/>
      <w:pPr>
        <w:ind w:left="0" w:firstLine="0"/>
      </w:pPr>
    </w:lvl>
    <w:lvl w:ilvl="1">
      <w:start w:val="1"/>
      <w:numFmt w:val="decimal"/>
      <w:pStyle w:val="Titolo3"/>
      <w:suff w:val="space"/>
      <w:lvlText w:val="%1.%2"/>
      <w:lvlJc w:val="left"/>
      <w:pPr>
        <w:ind w:left="0" w:firstLine="0"/>
      </w:pPr>
    </w:lvl>
    <w:lvl w:ilvl="2">
      <w:start w:val="1"/>
      <w:numFmt w:val="decimal"/>
      <w:pStyle w:val="Titolo4"/>
      <w:suff w:val="space"/>
      <w:lvlText w:val="%1.%2.%3"/>
      <w:lvlJc w:val="left"/>
      <w:pPr>
        <w:ind w:left="0" w:firstLine="0"/>
      </w:pPr>
    </w:lvl>
    <w:lvl w:ilvl="3">
      <w:start w:val="1"/>
      <w:numFmt w:val="decimal"/>
      <w:pStyle w:val="Titolo5"/>
      <w:suff w:val="space"/>
      <w:lvlText w:val="%1.%2.%3.%4"/>
      <w:lvlJc w:val="left"/>
      <w:pPr>
        <w:ind w:left="0" w:firstLine="0"/>
      </w:pPr>
    </w:lvl>
    <w:lvl w:ilvl="4">
      <w:start w:val="1"/>
      <w:numFmt w:val="decimal"/>
      <w:pStyle w:val="Titolo6"/>
      <w:suff w:val="space"/>
      <w:lvlText w:val="%1.%2.%3.%4.%5"/>
      <w:lvlJc w:val="left"/>
      <w:pPr>
        <w:ind w:left="0" w:firstLine="0"/>
      </w:pPr>
    </w:lvl>
    <w:lvl w:ilvl="5">
      <w:start w:val="1"/>
      <w:numFmt w:val="decimal"/>
      <w:suff w:val="space"/>
      <w:lvlText w:val="%1.%2.%3.%4.%5.%6"/>
      <w:lvlJc w:val="left"/>
      <w:pPr>
        <w:ind w:left="0" w:firstLine="0"/>
      </w:pPr>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3EC7BF8"/>
    <w:multiLevelType w:val="hybridMultilevel"/>
    <w:tmpl w:val="701A312A"/>
    <w:lvl w:ilvl="0" w:tplc="87D8C9A6">
      <w:start w:val="1"/>
      <w:numFmt w:val="decimal"/>
      <w:lvlText w:val="%1."/>
      <w:lvlJc w:val="left"/>
      <w:pPr>
        <w:ind w:left="454" w:hanging="261"/>
      </w:pPr>
    </w:lvl>
    <w:lvl w:ilvl="1" w:tplc="9B56DD44">
      <w:start w:val="1"/>
      <w:numFmt w:val="decimal"/>
      <w:lvlText w:val="%2."/>
      <w:lvlJc w:val="left"/>
      <w:pPr>
        <w:ind w:left="907" w:hanging="261"/>
      </w:pPr>
    </w:lvl>
    <w:lvl w:ilvl="2" w:tplc="1DD60212">
      <w:start w:val="1"/>
      <w:numFmt w:val="decimal"/>
      <w:lvlText w:val="%3."/>
      <w:lvlJc w:val="left"/>
      <w:pPr>
        <w:ind w:left="1361" w:hanging="261"/>
      </w:pPr>
    </w:lvl>
    <w:lvl w:ilvl="3" w:tplc="EC783700">
      <w:start w:val="1"/>
      <w:numFmt w:val="decimal"/>
      <w:lvlText w:val="%4."/>
      <w:lvlJc w:val="left"/>
      <w:pPr>
        <w:ind w:left="1814" w:hanging="261"/>
      </w:pPr>
    </w:lvl>
    <w:lvl w:ilvl="4" w:tplc="5252A1D2">
      <w:start w:val="1"/>
      <w:numFmt w:val="decimal"/>
      <w:lvlText w:val="%5."/>
      <w:lvlJc w:val="left"/>
      <w:pPr>
        <w:ind w:left="2268" w:hanging="261"/>
      </w:pPr>
    </w:lvl>
    <w:lvl w:ilvl="5" w:tplc="9AD458CC">
      <w:start w:val="1"/>
      <w:numFmt w:val="decimal"/>
      <w:lvlText w:val="%6."/>
      <w:lvlJc w:val="left"/>
      <w:pPr>
        <w:ind w:left="2721" w:hanging="261"/>
      </w:pPr>
    </w:lvl>
    <w:lvl w:ilvl="6" w:tplc="1416E930">
      <w:start w:val="1"/>
      <w:numFmt w:val="decimal"/>
      <w:lvlText w:val="%7."/>
      <w:lvlJc w:val="left"/>
      <w:pPr>
        <w:ind w:left="3175" w:hanging="261"/>
      </w:pPr>
    </w:lvl>
    <w:lvl w:ilvl="7" w:tplc="95AC7C18">
      <w:start w:val="1"/>
      <w:numFmt w:val="decimal"/>
      <w:lvlText w:val="%8."/>
      <w:lvlJc w:val="left"/>
      <w:pPr>
        <w:ind w:left="3628" w:hanging="261"/>
      </w:pPr>
    </w:lvl>
    <w:lvl w:ilvl="8" w:tplc="2E8ADC86">
      <w:start w:val="1"/>
      <w:numFmt w:val="decimal"/>
      <w:lvlText w:val="%9."/>
      <w:lvlJc w:val="left"/>
      <w:pPr>
        <w:ind w:left="4082" w:hanging="261"/>
      </w:pPr>
    </w:lvl>
  </w:abstractNum>
  <w:abstractNum w:abstractNumId="3" w15:restartNumberingAfterBreak="0">
    <w:nsid w:val="61D02461"/>
    <w:multiLevelType w:val="hybridMultilevel"/>
    <w:tmpl w:val="BCD4C3AE"/>
    <w:lvl w:ilvl="0" w:tplc="9AC8577E">
      <w:start w:val="1"/>
      <w:numFmt w:val="bullet"/>
      <w:lvlText w:val="●"/>
      <w:lvlJc w:val="left"/>
      <w:pPr>
        <w:ind w:left="720" w:hanging="360"/>
      </w:pPr>
    </w:lvl>
    <w:lvl w:ilvl="1" w:tplc="FA229840">
      <w:start w:val="1"/>
      <w:numFmt w:val="bullet"/>
      <w:lvlText w:val="○"/>
      <w:lvlJc w:val="left"/>
      <w:pPr>
        <w:ind w:left="1440" w:hanging="360"/>
      </w:pPr>
    </w:lvl>
    <w:lvl w:ilvl="2" w:tplc="5ADC253A">
      <w:start w:val="1"/>
      <w:numFmt w:val="bullet"/>
      <w:lvlText w:val="■"/>
      <w:lvlJc w:val="left"/>
      <w:pPr>
        <w:ind w:left="2160" w:hanging="360"/>
      </w:pPr>
    </w:lvl>
    <w:lvl w:ilvl="3" w:tplc="949215A6">
      <w:start w:val="1"/>
      <w:numFmt w:val="bullet"/>
      <w:lvlText w:val="●"/>
      <w:lvlJc w:val="left"/>
      <w:pPr>
        <w:ind w:left="2880" w:hanging="360"/>
      </w:pPr>
    </w:lvl>
    <w:lvl w:ilvl="4" w:tplc="C122E198">
      <w:start w:val="1"/>
      <w:numFmt w:val="bullet"/>
      <w:lvlText w:val="○"/>
      <w:lvlJc w:val="left"/>
      <w:pPr>
        <w:ind w:left="3600" w:hanging="360"/>
      </w:pPr>
    </w:lvl>
    <w:lvl w:ilvl="5" w:tplc="2132E4D8">
      <w:start w:val="1"/>
      <w:numFmt w:val="bullet"/>
      <w:lvlText w:val="■"/>
      <w:lvlJc w:val="left"/>
      <w:pPr>
        <w:ind w:left="4320" w:hanging="360"/>
      </w:pPr>
    </w:lvl>
    <w:lvl w:ilvl="6" w:tplc="DF347128">
      <w:start w:val="1"/>
      <w:numFmt w:val="bullet"/>
      <w:lvlText w:val="●"/>
      <w:lvlJc w:val="left"/>
      <w:pPr>
        <w:ind w:left="5040" w:hanging="360"/>
      </w:pPr>
    </w:lvl>
    <w:lvl w:ilvl="7" w:tplc="91AA94E0">
      <w:start w:val="1"/>
      <w:numFmt w:val="bullet"/>
      <w:lvlText w:val="●"/>
      <w:lvlJc w:val="left"/>
      <w:pPr>
        <w:ind w:left="5760" w:hanging="360"/>
      </w:pPr>
    </w:lvl>
    <w:lvl w:ilvl="8" w:tplc="D8B4E9C8">
      <w:start w:val="1"/>
      <w:numFmt w:val="bullet"/>
      <w:lvlText w:val="●"/>
      <w:lvlJc w:val="left"/>
      <w:pPr>
        <w:ind w:left="6480" w:hanging="360"/>
      </w:pPr>
    </w:lvl>
  </w:abstractNum>
  <w:num w:numId="1" w16cid:durableId="958487947">
    <w:abstractNumId w:val="3"/>
    <w:lvlOverride w:ilvl="0">
      <w:startOverride w:val="1"/>
    </w:lvlOverride>
  </w:num>
  <w:num w:numId="2" w16cid:durableId="1005085095">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4"/>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85A"/>
    <w:rsid w:val="003B2A17"/>
    <w:rsid w:val="003D0352"/>
    <w:rsid w:val="00452A55"/>
    <w:rsid w:val="005D585A"/>
    <w:rsid w:val="00947B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18DC9871"/>
  <w15:docId w15:val="{9B51BF87-1046-CF42-B506-AD3805290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color w:val="000000"/>
        <w:lang w:val="it-IT" w:eastAsia="it-IT"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spacing w:before="240" w:after="140"/>
      <w:outlineLvl w:val="0"/>
    </w:pPr>
    <w:rPr>
      <w:rFonts w:ascii="Verdana" w:hAnsi="Verdana"/>
      <w:b/>
      <w:bCs/>
      <w:color w:val="98103E"/>
    </w:rPr>
  </w:style>
  <w:style w:type="paragraph" w:styleId="Titolo2">
    <w:name w:val="heading 2"/>
    <w:uiPriority w:val="9"/>
    <w:unhideWhenUsed/>
    <w:qFormat/>
    <w:pPr>
      <w:numPr>
        <w:numId w:val="2"/>
      </w:numPr>
      <w:spacing w:before="240" w:after="140"/>
      <w:outlineLvl w:val="1"/>
    </w:pPr>
    <w:rPr>
      <w:rFonts w:ascii="Verdana" w:hAnsi="Verdana"/>
      <w:b/>
      <w:bCs/>
      <w:color w:val="98103E"/>
    </w:rPr>
  </w:style>
  <w:style w:type="paragraph" w:styleId="Titolo3">
    <w:name w:val="heading 3"/>
    <w:uiPriority w:val="9"/>
    <w:semiHidden/>
    <w:unhideWhenUsed/>
    <w:qFormat/>
    <w:pPr>
      <w:numPr>
        <w:ilvl w:val="1"/>
        <w:numId w:val="2"/>
      </w:numPr>
      <w:spacing w:before="200" w:after="100"/>
      <w:outlineLvl w:val="2"/>
    </w:pPr>
    <w:rPr>
      <w:rFonts w:ascii="Verdana" w:hAnsi="Verdana"/>
      <w:b/>
      <w:bCs/>
      <w:color w:val="98103E"/>
    </w:rPr>
  </w:style>
  <w:style w:type="paragraph" w:styleId="Titolo4">
    <w:name w:val="heading 4"/>
    <w:uiPriority w:val="9"/>
    <w:semiHidden/>
    <w:unhideWhenUsed/>
    <w:qFormat/>
    <w:pPr>
      <w:numPr>
        <w:ilvl w:val="2"/>
        <w:numId w:val="2"/>
      </w:numPr>
      <w:spacing w:before="200" w:after="100"/>
      <w:outlineLvl w:val="3"/>
    </w:pPr>
    <w:rPr>
      <w:rFonts w:ascii="Verdana" w:hAnsi="Verdana"/>
      <w:b/>
      <w:bCs/>
      <w:i/>
      <w:iCs/>
      <w:color w:val="98103E"/>
    </w:rPr>
  </w:style>
  <w:style w:type="paragraph" w:styleId="Titolo5">
    <w:name w:val="heading 5"/>
    <w:uiPriority w:val="9"/>
    <w:semiHidden/>
    <w:unhideWhenUsed/>
    <w:qFormat/>
    <w:pPr>
      <w:numPr>
        <w:ilvl w:val="3"/>
        <w:numId w:val="2"/>
      </w:numPr>
      <w:spacing w:before="200" w:after="100"/>
      <w:outlineLvl w:val="4"/>
    </w:pPr>
    <w:rPr>
      <w:rFonts w:ascii="Verdana" w:hAnsi="Verdana"/>
      <w:b/>
      <w:bCs/>
      <w:color w:val="98103E"/>
    </w:rPr>
  </w:style>
  <w:style w:type="paragraph" w:styleId="Titolo6">
    <w:name w:val="heading 6"/>
    <w:uiPriority w:val="9"/>
    <w:semiHidden/>
    <w:unhideWhenUsed/>
    <w:qFormat/>
    <w:pPr>
      <w:numPr>
        <w:ilvl w:val="4"/>
        <w:numId w:val="2"/>
      </w:numPr>
      <w:spacing w:before="200" w:after="100"/>
      <w:outlineLvl w:val="5"/>
    </w:pPr>
    <w:rPr>
      <w:rFonts w:ascii="Verdana" w:hAnsi="Verdana"/>
      <w:b/>
      <w:bCs/>
      <w:i/>
      <w:iCs/>
      <w:color w:val="98103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pPr>
      <w:spacing w:before="240" w:after="240"/>
    </w:pPr>
    <w:rPr>
      <w:rFonts w:ascii="Raleway" w:hAnsi="Raleway"/>
      <w:b/>
      <w:bCs/>
      <w:sz w:val="39"/>
      <w:szCs w:val="39"/>
    </w:rPr>
  </w:style>
  <w:style w:type="paragraph" w:customStyle="1" w:styleId="Enfasigrassetto1">
    <w:name w:val="Enfasi (grassetto)1"/>
    <w:qFormat/>
    <w:rPr>
      <w:b/>
      <w:bCs/>
    </w:rPr>
  </w:style>
  <w:style w:type="paragraph" w:styleId="Paragrafoelenco">
    <w:name w:val="List Paragraph"/>
    <w:qFormat/>
    <w:pPr>
      <w:spacing w:after="140"/>
    </w:pPr>
    <w:rPr>
      <w:rFonts w:ascii="Verdana" w:hAnsi="Verdana"/>
    </w:rPr>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 w:type="paragraph" w:customStyle="1" w:styleId="Timestamp">
    <w:name w:val="Timestamp"/>
    <w:qFormat/>
    <w:pPr>
      <w:spacing w:after="360"/>
    </w:pPr>
    <w:rPr>
      <w:rFonts w:ascii="Verdana" w:hAnsi="Verdana"/>
      <w:color w:val="787777"/>
      <w:sz w:val="18"/>
      <w:szCs w:val="18"/>
    </w:rPr>
  </w:style>
  <w:style w:type="paragraph" w:customStyle="1" w:styleId="MessageLabel">
    <w:name w:val="Message Label"/>
    <w:qFormat/>
    <w:pPr>
      <w:spacing w:before="360" w:after="120"/>
    </w:pPr>
    <w:rPr>
      <w:rFonts w:ascii="Verdana" w:hAnsi="Verdana"/>
      <w:b/>
      <w:bCs/>
      <w:smallCaps/>
    </w:rPr>
  </w:style>
  <w:style w:type="paragraph" w:customStyle="1" w:styleId="MessageContent">
    <w:name w:val="Message Content"/>
    <w:qFormat/>
    <w:rPr>
      <w:rFonts w:ascii="Verdana" w:hAnsi="Verdana"/>
    </w:rPr>
  </w:style>
  <w:style w:type="paragraph" w:customStyle="1" w:styleId="CodeBlock">
    <w:name w:val="Code Block"/>
    <w:qFormat/>
    <w:pPr>
      <w:spacing w:before="240" w:after="240"/>
      <w:ind w:left="720"/>
      <w:contextualSpacing/>
    </w:pPr>
    <w:rPr>
      <w:rFonts w:ascii="Roboto Mono" w:hAnsi="Roboto Mono"/>
    </w:rPr>
  </w:style>
  <w:style w:type="paragraph" w:customStyle="1" w:styleId="BlockQuote">
    <w:name w:val="Block Quote"/>
    <w:qFormat/>
    <w:pPr>
      <w:pBdr>
        <w:left w:val="single" w:sz="16" w:space="10" w:color="E9E6DD"/>
      </w:pBdr>
      <w:spacing w:before="160" w:after="240"/>
      <w:ind w:left="720"/>
      <w:contextualSpacing/>
    </w:pPr>
    <w:rPr>
      <w:rFonts w:ascii="Verdana" w:hAnsi="Verdana"/>
      <w:i/>
      <w:iCs/>
    </w:rPr>
  </w:style>
  <w:style w:type="paragraph" w:customStyle="1" w:styleId="Table">
    <w:name w:val="Table"/>
    <w:qFormat/>
    <w:rPr>
      <w:rFonts w:ascii="Verdana" w:hAnsi="Verdana"/>
    </w:rPr>
  </w:style>
  <w:style w:type="paragraph" w:customStyle="1" w:styleId="TableHeader">
    <w:name w:val="Table Header"/>
    <w:qFormat/>
    <w:rPr>
      <w:rFonts w:ascii="Verdana" w:hAnsi="Verdana"/>
      <w:b/>
      <w:bCs/>
    </w:rPr>
  </w:style>
  <w:style w:type="paragraph" w:customStyle="1" w:styleId="TableCell">
    <w:name w:val="Table Cell"/>
    <w:qFormat/>
    <w:rPr>
      <w:rFonts w:ascii="Verdana" w:hAnsi="Verdana"/>
    </w:rPr>
  </w:style>
  <w:style w:type="paragraph" w:styleId="Intestazione">
    <w:name w:val="header"/>
    <w:basedOn w:val="Normale"/>
    <w:link w:val="IntestazioneCarattere"/>
    <w:uiPriority w:val="99"/>
    <w:unhideWhenUsed/>
    <w:rsid w:val="00452A55"/>
    <w:pPr>
      <w:tabs>
        <w:tab w:val="center" w:pos="4819"/>
        <w:tab w:val="right" w:pos="9638"/>
      </w:tabs>
    </w:pPr>
  </w:style>
  <w:style w:type="character" w:customStyle="1" w:styleId="IntestazioneCarattere">
    <w:name w:val="Intestazione Carattere"/>
    <w:basedOn w:val="Carpredefinitoparagrafo"/>
    <w:link w:val="Intestazione"/>
    <w:uiPriority w:val="99"/>
    <w:rsid w:val="00452A55"/>
  </w:style>
  <w:style w:type="paragraph" w:styleId="Pidipagina">
    <w:name w:val="footer"/>
    <w:basedOn w:val="Normale"/>
    <w:link w:val="PidipaginaCarattere"/>
    <w:uiPriority w:val="99"/>
    <w:unhideWhenUsed/>
    <w:rsid w:val="00452A55"/>
    <w:pPr>
      <w:tabs>
        <w:tab w:val="center" w:pos="4819"/>
        <w:tab w:val="right" w:pos="9638"/>
      </w:tabs>
    </w:pPr>
  </w:style>
  <w:style w:type="character" w:customStyle="1" w:styleId="PidipaginaCarattere">
    <w:name w:val="Piè di pagina Carattere"/>
    <w:basedOn w:val="Carpredefinitoparagrafo"/>
    <w:link w:val="Pidipagina"/>
    <w:uiPriority w:val="99"/>
    <w:rsid w:val="00452A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1112</Words>
  <Characters>6933</Characters>
  <Application>Microsoft Office Word</Application>
  <DocSecurity>0</DocSecurity>
  <Lines>126</Lines>
  <Paragraphs>72</Paragraphs>
  <ScaleCrop>false</ScaleCrop>
  <Company>Lexant SBtA a r.l.</Company>
  <LinksUpToDate>false</LinksUpToDate>
  <CharactersWithSpaces>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creator>Enrico Morello</dc:creator>
  <cp:lastModifiedBy>Enrico Morello</cp:lastModifiedBy>
  <cp:revision>3</cp:revision>
  <dcterms:created xsi:type="dcterms:W3CDTF">2026-09-29T09:43:00Z</dcterms:created>
  <dcterms:modified xsi:type="dcterms:W3CDTF">2026-09-29T09:47:00Z</dcterms:modified>
</cp:coreProperties>
</file>